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461B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461B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79"/>
        <w:gridCol w:w="3105"/>
        <w:gridCol w:w="1274"/>
        <w:gridCol w:w="465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stanowiącej/ych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architektoniczno-budowlanej o braku 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Ministra Transportu i Gospodarki Morskiej 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461B70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8255" t="5715" r="825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461B70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698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79" w:rsidRDefault="00587879">
      <w:r>
        <w:separator/>
      </w:r>
    </w:p>
  </w:endnote>
  <w:endnote w:type="continuationSeparator" w:id="0">
    <w:p w:rsidR="00587879" w:rsidRDefault="005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79" w:rsidRDefault="00587879">
      <w:r>
        <w:separator/>
      </w:r>
    </w:p>
  </w:footnote>
  <w:footnote w:type="continuationSeparator" w:id="0">
    <w:p w:rsidR="00587879" w:rsidRDefault="0058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C1" w:rsidRDefault="00B90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D"/>
    <w:rsid w:val="00087088"/>
    <w:rsid w:val="000B0B0E"/>
    <w:rsid w:val="000C182B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56EA0"/>
    <w:rsid w:val="0036521E"/>
    <w:rsid w:val="00376281"/>
    <w:rsid w:val="0039145D"/>
    <w:rsid w:val="003C1694"/>
    <w:rsid w:val="003F4139"/>
    <w:rsid w:val="00433494"/>
    <w:rsid w:val="00461B70"/>
    <w:rsid w:val="0046510A"/>
    <w:rsid w:val="00481827"/>
    <w:rsid w:val="00490663"/>
    <w:rsid w:val="004A470D"/>
    <w:rsid w:val="004B5E44"/>
    <w:rsid w:val="004D62ED"/>
    <w:rsid w:val="004F01D7"/>
    <w:rsid w:val="00532F72"/>
    <w:rsid w:val="00550FC4"/>
    <w:rsid w:val="00553662"/>
    <w:rsid w:val="00587879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217CC-6CF7-48FB-A3D4-73B8FF9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wniosku: ………………</vt:lpstr>
    </vt:vector>
  </TitlesOfParts>
  <Company>Slaski Urzad Wojewodzki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wniosku: ………………</dc:title>
  <dc:subject/>
  <dc:creator>siembabp</dc:creator>
  <cp:keywords/>
  <cp:lastModifiedBy>Maksymilian Wolarz</cp:lastModifiedBy>
  <cp:revision>2</cp:revision>
  <cp:lastPrinted>2017-07-12T06:24:00Z</cp:lastPrinted>
  <dcterms:created xsi:type="dcterms:W3CDTF">2017-08-07T09:12:00Z</dcterms:created>
  <dcterms:modified xsi:type="dcterms:W3CDTF">2017-08-07T09:12:00Z</dcterms:modified>
</cp:coreProperties>
</file>